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Беликовой Елены Владимировны на нарушение ее конституционных прав частями первой и пятой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Е.В.Беликовой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Е.В.Беликова оспаривает конституционность положений статьи 392 Трудового кодекса Российской Федерации, согласно которым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 (часть первая); при пропуске по уважительным причинам сроков, установленных частями первой, второй, третьей и четвертой данной статьи, они могут быть восстановлены судом (часть пятая). По мнению заявительницы, оспариваемые нормы, примененные в ее деле судом, противоречат статьям 17 (части 1 и 2), 46 (часть 1) и 55 (часть 3) 2 Конституции Российской Федерации, поскольку, предоставляя работнику возможность самостоятельно выбрать способ защиты нарушенных трудовых прав, устанавливают предельный срок обращения в суд за разрешением индивидуального трудового спора, позволяют судам самостоятельно оценивать уважительность причин пропуска такого срока и не предполагают возможность продления этого срока в случае обращения работника в иные государственные органы.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Беликовой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