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пунктом 3 части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пункта 3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А.Н.Малинину отказано в удовлетворении заявления о пересмотре вступившего в законную силу решения суда по вновь открывшимся обстоятельствам. Определением судьи Верховного Суда Российской Федерации заявителю отказано в передаче кассационной жалобы для рассмотрения в 2 судебном заседании судебной коллегии по гражданским делам Верховного Суда Российской Федерации. По мнению А.Н.Малинина, оспариваемое законоположение по смыслу, придаваемому ему правоприменительной практикой в системе действующего правового регулирования, противоречит Конституции Российской Федерации, ее статьям 2, 4 (часть 2), 17 (часть 1), 18, 19 (части 1 и 2), 45 (часть 1), 46 (части 1 и 2), 47 (часть 1), 55 (часть 3), 118 (часть 2) и 123 (часть 3), поскольку позволяет судам отказывать в пересмотре дела по вновь открывшимся обстоятельствам, когда такие обстоятельства (злоупотребление процессуальными правами представителем стороны дела и предъявление им заведомо ложных доказательств) были установлены не вступившим в законную силу приговором суда, а постановлением должностного лица об отказе в возбуждении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392 ГПК Российской Федерации,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время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Часть третья указанной статьи предусматривает, что к вновь открывшимся обстоятельствам относятся преступления сторон, других лиц, участвующих в деле, их представителей, преступления судей, совершенные при рассмотрении и разрешении данного дела и установленные вступившим в законную силу приговором суда (пункт 3), и не препятствует суду принять в качестве оснований для пересмотра судебного постановления существенные для дела обстоятельства, которые не были и не могли быть известны заявителю (пункт 1). 3 Данное правовое регулирование выступает дополнительной процессуальной гарантией защиты прав и охраняемых законом интересов участников гражданских процессуальных отношений, а следовательно, оспариваемое законоположение не может расцениваться в качестве нарушающего конституционные права заявителя, перечисленные в жалобе. Определение же того, могли ли обстоятельства, на которые ссылался А.Н.Малинин, рассматриваться как существенные для дела и служить основанием для пересмотра судебного постановления, относится к компетенции суда общей юрисдикции и не входит в полномочия Конституционного Суда Российской Федерации, установленные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