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Люлинцева Валерия Анатольевича на нарушение его конституционных прав частью второй статьи 13 и частью второй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В.А.Люлинцева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В.А.Люлинцев оспаривает конституционность части второй статьи 13 «Обязательность судебных постановлений» и части второй статьи 61 «Основания для освобождения от доказывания» ГПК Российской Федерации. Как следует из представленных материалов, решением суда общей юрисдикции, оставленным без изменения судами апелляционной и кассационной инстанций, В.А.Люлинцеву отказано в удовлетворении исковых требований, связанных с оспариванием решения об отказе в назначении пенсии. При этом суды отклонили его ссылки на обстоятельства, установленные решениями судов по делам с участием иных лиц. 2 По мнению заявителя, оспариваемые законоположения противоречат статье 46 (часть 1) Конституции Российской Федерации, поскольку они по смыслу, придаваемому им правоприменительной практикой по конкретному делу, позволяют суду не принимать в качестве преюдициальных обстоятельства, установленные ранее при рассмотрении дел, в которых ответчик принимал участие, а истец не участвовал и не оспаривает данные обстоятельства.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Люлинцева Валерия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