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2741-О/2023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Петренко Владимира Алексеевича на нарушение его конституционных прав статьями 318, 319 и 321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В.А.Петренко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мирового судьи с учетом внесенных в него изменений судом апелляционной инстанции гражданин В.А.Петренко признан виновным в совершении преступления, предусмотренного частью первой статьи 115 «Умышленное причинение легкого вреда здоровью» УК Российской Федерации, и освобожден от назначенного наказания в связи с истечением срока давности. С этим решением согласились вышестоящие суды. В.А.Петренко утверждает, что статьи 318 «Возбуждение уголовного дела частного обвинения», 319 «Полномочия мирового судьи по уголовному делу частного обвинения» и 321 «Рассмотрение уголовного дела в судебном 2 заседании» УПК Российской Федерации противоречат статьям 19 (часть 1), 45 (часть 1) и 49 (часть 3) Конституции Российской Федерации, поскольку не гарантируют государственную защиту прав и законных интересов обвиняемых по уголовным делам частного обвинения в отличие от обвиняемых по уголовным делам частно-публичного и публичного обвинения.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Петренко Владимира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