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Хромовой Анастасии Андреевны на нарушение ее конституционных прав пунктом 1 статьи 1651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А.А.Хромовой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А.А.Хромова оспаривает конституционность пункта 1 статьи 1651 «Юридически значимые сообщения» ГК Российской Федерации. Как следует из представленных материалов, в ходе рассмотрения спора, связанного с увольнением А.А.Хромовой на основании пункта 2 части первой статьи 81 Трудового кодекса Российской Федерации, суды признали соблюденным двухмесячный срок направления ей уведомления о предстоящем увольнении, в том числе поскольку оно за три месяца до даты ее увольнения поступило в почтовое отделение по месту ее жительства, откуда впоследствии было возвращено по истечении срока хранения. По мнению заявительницы, оспариваемое положение противоречит статьям 37 (части 3 и 5) и 38 (часть 1) Конституции Российской Федерации, 2 поскольку оно позволяет признавать уведомление работника о предстоящем увольнении в связи с сокращением численности или штата работников организации доставленным несмотря на то, что оно было направлено работнику в период ежегодного оплачиваемого отпуска, в течение которого он не имел реальной возможности ознакомиться с уведомлением. Кроме того, А.А.Хромова ходатайствует о восстановлении пропущенного ею годичного срока на подачу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Хромовой Анастасии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