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2100-О/2023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Клементьевой Светланы Анатольевны на нарушение ее конституционных прав статьей 219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С.А.Клементьевой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С.А.Клементьева оспаривает конституционность статьи 219 «Срок обращения с административным исковым заявлением в суд» КАС Российской Федерации. Из представленных материалов следует, что решением гарнизонного военного суда, оставленным без изменения судами вышестоящих инстанций, заявительнице отказано в удовлетворении требований о признании незаконными действий должностных лиц Вооруженных Сил Российской Федерации, связанных с ее увольнением с военной службы и исключением из списков личного состава воинской части. Суды пришли к выводу о пропуске административным истцом срока обращения в суд с данным 2 административным исковым заявлением, а также указали на отсутствие уважительных причин для его восстановления. По мнению С.А.Клементьевой, статья 219 КАС Российской Федерации не соответствует Конституции Российской Федерации, в частности ее статье 46, поскольку не определяет порядок применения установленных сроков обращения с административным исковым заявлением в суд, а также не предусматривает основания и процедуру восстановления пропущенного срока.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Клементьевой Светланы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