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Нагибиной Юлии Михайловны на нарушение ее конституционных прав постановлением Губернатора Челябинской области «О внесении изменений в постановление Губернатора Челябинской области от 07.12.2010 г. № 395»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Ю.М.Нагибиной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Ю.М.Нагибина просит признать не соответствующим Конституции Российской Федерации и отменить постановление Губернатора Челябинской области от 14 октября 2019 года № 466 «О внесении изменений в постановление Губернатора Челябинской области от 07.12.2010 г. № 395». По мнению заявительницы, данное постановление Губернатора Челябинской области противоречит Конституции Российской Федерации, ее статьям 2, 7, 15, 32, 37, 38 и 46, поскольку позволяет представителю нанимателя изменять существенные условия служебного контракта без предварительного уведомления государственного гражданского служащего, исключать его 2 должность из структуры и штатной численности органа исполнительной власти субъекта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Нагибиной Юлии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