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Азаровой Елены Леонидовны на нарушение ее конституционных прав частью 2 статьи 323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Е.Л.Азаровой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Е.Л.Азарова оспаривает конституционность части 2 статьи 323 КАС Российской Федерации, согласно которой судья Верховного Суда Российской Федерации изучает кассационные жалобу, представление по материалам, приложенным к жалобе, представлению, либо по материалам истребованного административного дела; в случае истребования административного дела судья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жалобе, представлении или ходатайстве. 2 Как следует из представленных материалов, определением судьи районного суда оставлено без движения административное исковое заявление Е.Л.Азаровой со ссылкой на то, что истцом заявлен спор о праве, который подлежит рассмотрению по правилам гражданского судопроизводства, при этом иск подан без соблюдения требований, установленных статьями 131 и 132 ГПК Российской Федерации, и заявительнице предложено устранить имеющиеся недостатки – представить доказательства направления иска ответчику. Определением судьи, оставленным без изменения судами апелляционной и кассационной инстанций, возвращена частная жалоба заявительницы на определение судьи об оставлении ее искового заявления без движения и продлен срок для исправления недостатков, послуживших основанием для оставления искового заявления без движения. Определением судьи Верховного Суда Российской Федерации отказано в передаче кассационной жалобы заявительницы на данные судебные постановления для рассмотрения в судебном заседании Судебной коллегии по гражданским делам этого суда. По мнению заявительницы, оспариваемое положение является неопределенным в части формулировки «материалы, приложенные к жалобе» и позволяет судье Верховного Суда Российской Федерации изучать кассационную жалобу по копиям обжалуемых судебных актов, а потому не соответствует статьям 46 (часть 1) и 120 (часть 1) Конституции Российской Федерации. Заявительница также просит отменить все судебные постановления по ее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второй статьи 96 Федерального конституционного закона «О Конституционном Суде Российской Федерации» к жалобе должны быть приложены судебные решения,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защиты. 3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норм соответствующего нормативного правового акта, устанавливаются и (или) исследуются фактические обстоятельства. Вопреки данным требованиям, представленными вместе с жалобой материалами не подтверждается применение в деле с участием заявительницы части 2 статьи 323 КАС Российской Федерации. Что касается требования заявительницы об отмене судебных постановлений по ее делу, то его разрешение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Азаровой Елены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