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«Судоходная компания «Ока» на нарушение его конституционных прав пунктом 1 статьи 42 и пунктом 5 статьи 164 Кодекса внутреннего водного транспорта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«Судоходная компания «Ока»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«Судоходная компания «Ока» (далее также – ООО «Судоходная компания «Ока») оспаривает конституционность следующих положений Кодекса внутреннего водного транспорта Российской Федерации: пункта 1 статьи 42, которая определяет сферу применения правил, установленных главой VII данного Кодекса, и пункта 5 статьи 164, предусматривающей сроки исковой давности. Решением арбитражного суда, оставленным без изменения арбитражными судами вышестоящих инстанций, отказано в удовлетворении иска заявителя и другого юридического лица о возмещении убытков, 2 причиненных в результате транспортного происшествия (соприкосновения речного судна ответчика, нарушившего правила плавания, с речным судном второго истца, ошвартованным у плавучего объекта – дебаркадера, принадлежавшего заявителю). Суды пришли к выводу, что истцами пропущен двухлетний срок исковой давности, и отклонили их довод о необходимости применения общего трехлетнего срока исковой давности, в обоснование которого указывалось, что вред был причинен не только судну, но и плавучему объекту.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оспариваемые положения противоречат статьям 19 (часть 1) и 46 (часть 1) Конституции Российской Федерации в той мере, в какой они как в отдельности, так и во взаимосвязи позволяют применять двухлетний срок исковой давности к требованиям собственника плавучего объекта о возмещении убытков, причиненных в результате столкновения судна с плавучим объектом.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Кодекса внутреннего водного транспорта Российской Федерации, определяющие сферу применения правил главы VII «Возмещение вреда от столкновения судов» данного Кодекса и закрепляющие двухлетний срок исковой давности по требованиям, возникающим в связи со столкновением судов и с осуществлением спасательной операции, обеспечивают определенность правоотношений в соответствующей сфере и не могут рассматриваться как нарушающие конституционные права ООО «Судоходная компания «Ока», в деле с участием которого суды установили, что транспортное происшествие, в результате которого плавучему объекту заявителя был причинен вред, представляло собой соприкосновение двух речных судов.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«Судоходная компания «Ока»,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