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Бабаева Руслана Сейлановича на нарушение его конституционных прав частью первой статьи 11, частью первой статьи 54 и частью первой статьи 268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Р.С.Бабаева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Р.С.Бабаев, осужденный и отбывающий наказание, оспаривает конституционность части первой статьи 11 «Охрана прав и свобод человека и гражданина в уголовном судопроизводстве», части первой статьи 54 «Гражданский ответчик» и части первой статьи 268 «Разъяснение потерпевшему, гражданскому истцу и гражданскому ответчику их прав» УПК Российской Федерации. Заявитель утверждает, что обжалуемые нормы позволили суду удовлетворить заявленные в отношении него потерпевшими гражданские иски, не привлекая его в качестве гражданского ответчика и не разъясняя соответствующих прав и обязанностей, что повлекло нарушение прав, 2 гарантированных статьями 19, 45, 46, 55 (часть 2) и 123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11 УПК Российской Федерации закрепляет принцип охраны прав и свобод человека и гражданина в уголовном судопроизводстве, в силу которого, в частности, суд, прокурор, следователь, дознаватель обязаны разъяснять участникам уголовного судопроизводства их права, обязанности и ответственность и обеспечивать возможность осуществления этих прав (часть первая). Конкретизацией данного принципа является положение статьи 268 того же Кодекса, предписывающее председательствующему по уголовному делу разъяснить потерпевшему, гражданскому истцу, их представителям, а также гражданскому ответчику и его представителю их права и ответственность в судебном разбирательстве, предусмотренные соответственно статьями 42, 44, 45, 54 и 55 УПК Российской Федерации (часть первая). Как следует из жалобы, не приводя правового обоснования неконституционности оспариваемых норм, Р.С.Бабаев ведет речь о нарушении содержащихся в них требований судами при рассмотрении его уголовного дела, чем, по существу, предлагает Конституционному Суду Российской Федерации дать оценку не нормативным положениям, а приговору и последующим судебным решениям. Однако установление нарушений уголовно-процессуального закона, допущенных в конкретном уголовном деле, и определение того, могут ли они послужить основаниями для отмены или изменения соответствующих судебных решений, требуют исследования фактических обстоятельств этого дела и выходят за рамки полномочий, которыми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Бабаева Руслана Сейлановича,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