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Рябинина Дениса Александровича на нарушение его конституционных прав частью 3 статьи 131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Д.А.Рябинина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Д.А.Рябинин оспаривает конституционность части 3 статьи 131 КАС Российской Федерации, в соответствии с которой подача встречного административного искового заявления осуществляется по общим правилам предъявления административных исковых заявлений. Как следует из представленных материалов, вступившими в законную силу судебными актами судов общей юрисдикции возвращено встречное административное исковое заявление Д.А.Рябинина. При этом суды пришли к выводу о несоблюдении заявителем обязательного досудебного порядка урегулирования соответствующей категории споров. 2 По мнению заявителя, оспариваемое законоположение противоречит статьям 19 (часть 1) и 46 (часть 1) Конституции Российской Федерации, поскольку препятствует реализации права на предъявление встречного административного искового заявления, предполагая обязательность соблюдения досудебного порядка урегулирования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Рябинина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