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Калитовой Ольги Владимировны на нарушение ее конституционных прав статьями 301–305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О.В.Калитовой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О.В.Калитова, которой отказано в удовлетворении иска об истребовании имущества из чужого незаконного владения, оспаривает конституционность статей 301 «Истребование имущества из чужого незаконного владения», 302 «Истребование имущества от добросовестного приобретателя», 303 «Расчеты при возврате имущества из незаконного владения», 304 «Защита прав собственника от нарушений, не связанных с лишением владения» и 305 «Защита прав владельца, не являющегося собственником» ГК Российской Федерации. По мнению заявительницы, оспариваемые положения не соответствуют статье 46 Конституции Российской Федерации в той мере, в какой по смыслу, 2 придаваемому им правоприменительной практикой, они препятствуют судебной защите прав участников долевого строительства, которые исполнили обязательство по уплате денежных средств в полном объеме по договору участия в долевом строительстве, на получение объекта долевого строительства после банкротства и ликвидации застройщика.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указано в Постановлении Конституционного Суда Российской Федерации от 21 апреля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Калитовой Ольги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