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Фролова Игоря Николаевича на нарушение его конституционных прав частью 1 статьи 39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И.Н.Фролова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И.Н.Фролов оспаривает конституционность части 1 статьи 39 «Передача дела, принятого арбитражным судом к своему производству, из одного суда в другой суд» АПК Российской Федерации. Как следует из представленных материалов, решением арбитражного суда с И.Н.Фролова, привлеченного к участию в деле в качестве соответчика, в пользу юридического лица взысканы денежные средства. Апелляционная жалоба И.Н.Фролова на данное решение была ему возвращена в связи с отказом в восстановлении пропущенного им срока на ее подачу. Кассационная жалоба И.Н.Фролова на решение арбитражного суда первой инстанции была оставлена без удовлетворения. 2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И.Н.Фролова,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статье 47 (часть 1) Конституции Российской Федерации, поскольку позволяет относить к компетенции арбитражного суда споры с участием граждан, не являющихся индивидуальными предпринимателями, которые подлежат рассмотрению и разрешению в порядке гражданского судопроизводства.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Фролова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