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Поповой Светланы Александровны на нарушение ее конституционных прав статьями 98 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С.А.Поповой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С.А.Попова оспаривает конституционность статей 98 «Распределение судебных расходов между сторонами» и 100 «Возмещение расходов на оплату услуг представителя»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с С.А.Поповой – исковые требования которой к товариществу собственников жилья были оставлены судом без удовлетворения – в пользу этого товарищества взысканы расходы на оплату услуг представителя. Определением судьи Верховного Суда Российской Федерации, с которым 2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С.А.Поповой, оспариваемые законоположения противоречат статьям 17 (часть 3), 19 (части 1 и 2), 34 (часть 2) и 55 (часть 2) Конституции Российской Федерации, поскольку допускают возможность взыскания в пользу товарищества собственников жилья судебных расходов в виде оплаты услуг представителя с состоящего в этом товариществе лица в том случае, когда услуги представителя были оплачены из бюджета товарищества до начала судебного разбирательства. Кроме того, заявительница просит признать не соответствующими указанным статьям Конституции Российской Федерации судебные постановления, принятые по вопросу о взыскании с нее судебных расходов.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первой статьи 100 ГПК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По смыслу этой нормы, разрешение вопроса о возможности возмещения стороне дела в разумных пределах такого рода судебных расходов обусловлено выводом суда о правомерности или неправомерности заявленного в суд требования. Возмещение судебных расходов может производиться только в том случае, если сторона докажет, что несение ею указанных расходов в действительности имело место. При этом не исключается судебная оценка как самих заявленных расходов (на предмет их связи с рассмотрением дела, а также их необходимости, оправданности и разумности), так и источника средств, из которых эти расходы изначально были оплачены стороной дела. 3 Таким образом, статья 100 ГПК Российской Федерации, как и статья 98 этого Кодекса, устанавливающая общее правило распределения судебных расходов, обеспечивают реализацию гарантий эффективной судебной защиты прав сторон в части возмещения таких расходов и не могут расцениваться в качестве нарушающих конституционные права заявительницы. Оценка же правильности распределения судом судебных расходов в конкретном деле, а также разрешение вопроса о проверке судебных постановлений на предмет их соответствия Конституции Российской Федерации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Поповой Светланы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