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1625-О/2023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Шанина Андрея Валерьевича на нарушение его конституционных прав частью второй статьи 14 Федерального закона «Об общественных объединениях»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А.В.Шанина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без изменения определениями судов апелляционной и кассационной инстанций, было отказано в удовлетворении административного искового заявления граждан А.В.Шанина и К. к Минюсту России и его территориальному управлению о признании недействительными решений, которыми отказано во внесении изменений в сведения о межрегиональной общественной организации в Единый государственный реестр юридических лиц и отказано в государственной регистрации изменений, внесенных в учредительный документ межрегиональной общественной организации, а также о 2 возложении обязанности принять решения о внесении и государственной регистрации соответствующих изменений. А.В.Шанин оспаривает конституционность части второй статьи 14 Федерального закона от 19 мая 1995 года № 82-ФЗ «Об общественных объединениях». По мнению заявителя, данное положение противоречит статье 30 Конституции Российской Федерации в той мере, в какой оно по смыслу, придаваемому ему правоприменительной практикой, позволяет высшему органу управления общественной организации отменять решения, принятые высшим органом управления другой общественной организации, при наличии любых структурных взаимосвязей между ними.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части второй статьи 14 Федерального закона «Об общественных объединениях» под общероссийским общественным объединением понимается объединение, которое осуществляет свою деятельность в соответствии с уставными целями на территориях более половины субъектов Российской Федерации и имеет там свои структурные подразделения – организации, отделения или филиалы и представительства. Данное положение, рассматриваемое во взаимосвязи с иными нормами того же Федерального закона, в том числе определяющими понятия межрегионального, регионального и местного общественных объединений, направлено на обеспечение упорядоченности и структурированности системы российских общественных объединений с учетом территориальной сферы их деятельности, не регламентирует порядок принятия и отмены решений органов управления общественной организации и не может расцениваться как нарушающее конституционные права заявителя в аспекте, указанном в жалобе. Установление же и оценка фактических обстоятельств конкретного дела, а также проверка правильности применения оспариваемой нормы с учетом данных обстоятельств к компетенции Конституционного Суда 3 Российской Федерации, как она закреплена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Шанина Андрея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