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Баранова Семена Валерьевича на нарушение его конституционных прав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С.В.Баранова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С.В.Баранов оспаривает конституционность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Как следует из представленных материалов, решением арбитражного суда, оставленным без изменения постановлениями арбитражного суда апелляционной инстанции и Суда по интеллектуальным правам, было частично удовлетворено исковое требование организации, предъявленное к ООО «Сибпремиум», о взыскании компенсации за нарушение исключительного 2 права на произведение изобразительного искусства. При этом Судом по интеллектуальным правам было указано на то, что согласно части 3 статьи 2911 АПК Российской Федерации постановление суда кассационной инстанции, которым не были отменены или изменены судебные акты, принятые в порядке упрощенного производства, не подлежит обжалованию в Судебную коллегию Верховного Суда Российской Федерации. По мнению С.В.Баранова, оспариваемая норма не соответствует статье 19 Конституции Российской Федерации в той мере, в какой она ставит в неравное положение лиц, обратившихся за судебной защитой своих прав, в зависимости от вида производства их дела в судах первой и апелляционной инстанций.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Баранова Семена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