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Волосенковой Галины Андреевны на нарушение ее конституционных прав пунктом 3 части первой статьи 16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Г.А.Волосенковой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Г.А.Волосенкова оспаривает конституционность пункта 3 части первой статьи 16 «Основания для отвода судьи»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Г.А.Волосенковой отказано в удовлетворении исковых требований к ответчикам о признании сделки недействительной и применении последствий ее недействительности. При этом судом первой инстанции также было отказано в удовлетворении заявления представителя Г.А.Волосенковой об отводе судьи.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Г.А.Волосенковой, оспариваемое законоположение по смыслу, придаваемому ему правоприменительной практикой, противоречит Конституции Российской Федерации, ее статьям 15 (часть 2), 19 (часть 1), 35 (части 1 и 2), 46 (часть 1), 55 (части 2 и 3) и 56 (часть 3), поскольку допускает возможность отказа в удовлетворении заявления об отводе судьи в том случае, когда этот судья ранее уже рассматривал гражданское дело по аналогичному спору с теми же фактическими обстоятельствами и с участием тех же лиц.</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(статьи 16, 17 и 20 ГПК Российской Федерации). В соответствии с пунктом 3 части первой статьи 16 ГПК Российской Федерации судья не может рассматривать дело и подлежит отводу, если он лично, прямо или косвенно, заинтересован в исходе дела либо имеются иные обстоятельства, вызывающие сомнение в его объективности и беспристрастности. Соответственно, беспристрастность судей, рассматривающих гражданское дело, презюмируется, пока не доказано иное. Поэтому то обстоятельство, что судья ранее рассматривал дело в суде первой (или иной) инстанции, не свидетельствует о его пристрастности при рассмотрении им другого дела в суде той же инстанции, в том числе если в рамках рассматриваемого им дела разрешается аналогичный спор и исследуются фактические обстоятельства, что и в первоначальном деле. 3 Гарантией соблюдения принципа беспристрастности судьи (состава суда) являются установленные Гражданским процессуальным кодексом Российской Федерации процедуры проверки вынесенных судебных постановлений вышестоящими судебными инстанциями. При этом вопрос о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судов общей юрисдикции. Следовательно, оспариваемое заявительницей законоположение не может рассматриваться как нарушающее ее конституционные права, перечисленные в жалобе.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Волосенковой Галины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