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Новикова Дмитрия Анатольевича на нарушение его конституционных прав пунктом 1 части второй статьи 3907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Д.А.Новикова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Д.А.Новиков, которому определением судьи Верховного Суда Российской Федерации в передаче кассационной жалобы для рассмотрения в судебном заседании Судебной коллегии по гражданским делам Верховного Суда Российской Федерации было отказано, с чем согласился заместитель Председателя этого суда, оспаривает конституционность пункта 1 части второй статьи 3907 «Рассмотрение кассационных жалобы, представления» ГПК Российской Федерации. По мнению заявителя, оспариваемое законоположение не соответствует Конституции Российской Федерации, в том числе ее статьям 2, 15, 17 (часть 1), 2 18, 45 (часть 1), 46 (часть 1) и 55, поскольку оно допускает возможность отказа в передаче кассационной жалобы для рассмотрения в судебном заседании Судебной коллегии по гражданским делам Верховного Суда Российской Федерации и тем самым препятствует реализации его права на судебную защиту.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Новикова Дмитрия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