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1658-О/2024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Перетятко Елены Вадимовны на нарушение ее конституционных прав пунктом 4 статьи 252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Е.В.Перетятко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Е.В.Перетятко оспаривает конституционность пункта 4 статьи 252 «Раздел имущества, находящегося в долевой собственности, и выдел из него доли» ГК Российской Федерации. Как следует из представленных материалов, решением суда общей юрисдикции, с которым согласись суды вышестоящих инстанций, прекращено право собственности заявительницы на долю в праве общей собственности на квартиру с выплатой ей денежной компенсации. Суды пришли к выводам, что данная доля незначительна, Е.В.Перетятко не имеет существенного интереса в пользовании квартирой, в которой совместное проживание сособственников не представляется возможным. 2 По мнению заявительницы, оспариваемое законоположение не соответствует Конституции Российской Федерации, поскольку оно допускает возможность принудительного лишения доли в праве общей собственности на жилое помещение граждан, не заявлявших требования о ее выделе.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Перетятко Елены Вадимовны,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