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Радинской Евгении Николаевны на нарушение ее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Е.Н.Радинской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Е.Н.Радинская, с которой взыскана задолженность по оплате коммунальной услуги по обращению с твердыми коммунальными отходами,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части первой Гражданского кодекса Российской Федерации, Жилищного кодекса Российской Федерации, Федерального закона от 30 ноября 1994 года № 52-ФЗ «О введении в действие части первой Гражданского кодекса Российской Федерации» и Федерального закона от 29 2 декабря 2004 года № 189-ФЗ «О введении в действие Жилищного кодекса Российской Федерации». По мнению заявительницы,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заявительница полагает, что иные оспариваемые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Радинской Евгении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