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Малинина Алексея Николаевича на нарушение его конституционных прав частью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А.Н.Малинина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А.Н.Малинин оспаривает конституционность части третьей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постановлениями судов общей юрисдикции, оставленными без изменения вышестоящими судами, А.Н.Малинину отказано в удовлетворении заявлений о пересмотре вступивших в законную силу постановлений этих судов по вновь открывшимся обстоятельствам. Определениями судей Верховного Суда Российской Федерации заявителю отказано в передаче кассационных жалоб 2 для рассмотрения в судебном заседании Судебной коллегии по гражданским делам Верховного Суда Российской Федерации. По мнению А.Н.Малинина, оспариваемое законоположение не соответствует статьям 2, 4 (часть 2), 17 (части 1 и 3), 18, 19 (части 1 и 2), 45 (часть 1), 46 (часть 1), 55 (часть 3) и 123 (часть 3) Конституции Российской Федерации, поскольку позволяет судам отказывать в пересмотре дела по вновь открывшимся обстоятельствам, когда такие обстоятельства (ложные показания представителя стороны дела и предъявление им заведомо ложных доказательств) были установлены не вступившим в законную силу приговором суда, а постановлением должностного лица об отказе в возбуждении уголовного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Определениями от 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Малинина Алексея Николаевича,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