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Саховского Александра Вячеславовича на нарушение его конституционных прав пунктом 1 статьи 130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А.В.Саховского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А.В.Саховский оспаривает конституционность пункта 1 статьи 130 «Недвижимые и движимые вещи» ГК Российской Федерации. Из представленных материалов следует, что решением арбитражного суда, с которым согласились суды вышестоящих инстанций, удовлетворены исковые требования о признании отсутствующим права собственности заявителя на открытую технологическую площадку, возведенную на не принадлежащем ему земельном участке, и об исключении из Единого государственного реестра недвижимости сведений об указанном сооружении. 2 По мнению заявителя, оспариваемая норма противоречит статье 35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она позволяет судам разрешать вопрос об отнесении возведенного на земельном участке сооружения к недвижимому имуществу с опорой не на критерии, установленные в нормативных актах (прочная связь с землей и невозможность перемещения без несоразмерного ущерба его назначению), а на акты правоприменения, толкования права и обобщения судебной практики.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Саховского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