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Кашубо Дмитрия Германовича на нарушение его конституционных прав статьями 234 и 394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Д.Г.Кашубо вопрос о возможности принятия его жалоб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Д.Г.Кашубо оспаривает конституционность следующих положений Трудового кодекса Российской Федерации: статьи 234, устанавливающей обязанность работодателя возместить работнику не полученный им заработок во всех случаях незаконного лишения его возможности трудиться и закрепляющей перечень таких случаев; статьи 394, определяющей последствия признания органом, рассматривающим индивидуальный трудовой спор, в том числе судом, увольнения работника или его перевода на другую работу незаконным. 2 По мнению заявителя, оспариваемые нормы не соответствуют Конституции Российской Федерации, в частности ее статье 37, поскольку не позволяют судам удовлетворить его требование о взыскании неполученного в результате отказа в приеме на работу заработка, если такой отказ в судебном порядке был признан незаконным.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Федеральный законодатель, реализуя свои полномочия по регулированию трудовых отношений, установил в статье 234 Трудового кодекса Российской Федерации перечень оснований, при наличии которых у работодателя возникает обязанность возместить работнику материальный ущерб, причиненный в результате незаконного лишения его возможности трудиться. Указанная норма, предусматривая материальную ответственность работодателя только для тех случаев, когда работник был фактически лишен возможности осуществлять трудовую деятельность, носит гарантийный характер, направлена на защиту прав и законных интересов работника, а потому ее положения не могут расцениваться как нарушающие права Д.Г.Кашубо в оспариваемом в жалобе аспекте. Как следует из представленных материалов, оспаривая конституционность статьи 234 Трудового кодекса Российской Федерации, заявитель нарушение своих прав связывает с ошибочным, по его мнению, толкованием судами данного нормативного положения, однако проверка правильности казуального толкования правовой нормы в конкретном деле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Что касается оспариваемой заявителем статьи 394 Трудового кодекса Российской Федерации, то, вопреки требованиям статей 96 и 97 3 Федерального конституционного закона «О Конституционном Суде Российской Федерации», ее применение в его делах представленными документами не подтверждается.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Кашубо Дмитрия Германовича,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