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«РБВ Медикал Групп» на нарушение его конституционных прав частью 23 статьи 95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«РБВ Медикал Групп»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«РБВ Медикал Групп» (далее также – общество), которому решением арбитражного суда, с которым согласились суды вышестоящих инстанций, было отказано в удовлетворении исковых требований к государственному заказчику о взыскании убытков в виде упущенной выгоды, оспаривает конституционность части 23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устанавливающей, что при расторжении контракта в 2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По мнению заявителя, оспариваемое положение не соответствует статье 8 (часть 1) Конституции Российской Федерации в той мере, в какой оно по смыслу, придаваемому ему правоприменительной практикой, устанавливает запрет возмещения упущенной выгоды всем сторонам контракта. В жалобе отмечено, что данная норма должна предоставлять право стороне контракта, отказавшейся от исполнения контракта в одностороннем порядке, требовать возмещения упущенной выгоды с другой стороны этого контракта (по вине которой был контракт расторгнут).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«РБВ Медикал Групп»,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