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Наймана Сергея Людвиговича на нарушение его конституционных прав пунктом 1 статьи 4017, частями седьмой и восьмой статьи 40113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С.Л.Наймана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с учетом изменений, внесенных судом апелляционной инстанции, гражданин С.Л.Найман осужден за совершение преступления. Заявитель утверждает, что пункт 1 статьи 4017 «Действия суда первой инстанции при поступлении кассационных жалобы, представления», а также части седьмая и восьмая статьи 40113 «Сроки и порядок рассмотрения уголовного дела по кассационным жалобе, представлению в судебном заседании суда кассационной инстанции» УПК Российской Федерации позволили государственному обвинителю, выступавшему в Третьем 2 кассационном суде общей юрисдикции при пересмотре приговора, привести новые доводы по существу дела в отсутствие у стороны защиты возможности их оспорить, чем нарушили принцип состязательности и равноправия сторон в кассационном производстве, войдя в противоречие со статьями 2, 15, 18, 19 (части 1 и 2), 46 (часть 1), 55 (части 2 и 3)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Наймана Сергея Людвиговича,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