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Желудько Олега Анатольевича на нарушение его конституционных прав статьей 134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О.А.Желудько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О.А.Желудько в своем требовании, обращенном к Конституционному Суду Российской Федерации, оспаривает конституционность статьи 134 «Обеспечение повышения уровня реального содержания заработной платы» Трудового кодекса Российской Федерации. По мнению заявителя, данная норма противоречит Конституции Российской Федерации, в частности ее статьям 2, 18, 19, 37 (часть 3), 45, 46 (часть 1), 55 и 123 (часть 3), поскольку позволяет работодателю не производить индексацию заработной платы работника, а судам – отказывать работнику в удовлетворении его требований о проведении такой индексации. 2 О.А.Желудько также ходатайствует о восстановлении пропущенного срока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Желудько Олега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