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«Инвест-проект» на нарушение его конституционных прав статьями 398, 4292, 435 и 436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«Инвест-проект»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«Инвест-проект» оспаривает конституционность статей 398 «Последствия неисполнения обязательства передать индивидуально-определенную вещь», 4292 «Опцион на заключение договора», 435 «Оферта» и 436 «Безотзывность оферты» ГК Российской Федерации.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исковых требований общества с ограниченной ответственностью «Инвест-проект», направленных на признание за ним 99% в уставном капитале другого общества с ограниченной ответственностью; о признании отсутствующим (прекратившимся) права гражданки К. 2 приобрести указанную долю путем акцепта безотзывной оферты, сделанной на основании соглашения о предоставлении опциона на заключение договора. Этим же решением за К. признана доля в уставном капитале данного общества в размере 100%. По мнению заявителя, оспариваемые положения в их взаимосвязи противоречат статьям 19 (часть 1), 34 (часть 2), 35 (часть 1) и 46 (часть 1) Конституции Российской Федерации, поскольку по смыслу, придаваемому правоприменительной практикой, они допускают лишение добросовестного приобретателя права на имущество, которое до его отчуждения в пользу такого приобретателя выступало предметом опционного обязательства с третьим лицом, о существовании которого добросовестному приобретателю известно не было.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не могут расцениваться в качестве нарушающих перечисленные в жалобе конституционные права заявителя, доводы которого, приведенные в обоснование его позиции, свидетельствуют о том, что, формально оспаривая конституционность названных норм, он, по существу, предлагает Конституционному Суду Российской Федерации оценить правильность выбора норм права, подлежащих применению с учетом фактических обстоятельств конкретного дела. Между тем такая оценка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«Инвест-проект»,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