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А.Н.Малинину отказано в удовлетворении заявления о пересмотре вступившего в законную силу постановления суда по вновь открывшимся обстоятельствам.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оспариваемое законоположение по смыслу, придаваемому ему правоприменительной практикой в системе действующего правового регулирования, противоречит Конституции Российской Федерации, ее статьям 2, 4 (часть 2), 17 (часть 1), 18, 19 (части 1 и 2), 45 (часть 1), 46 (часть 1), 55 (часть 3) и 123 (часть 3), поскольку позволяет судам отказывать в пересмотре дела по вновь открывшимся обстоятельствам, когда такие обстоятельства (ложные показания представителя стороны дела и предъявление им заведомо ложных доказательств) были установлены не вступившим в законную силу приговором суда, а постановлением должностного лица об отказе в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