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Илоны Петровны на нарушение ее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И.П.Павловой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И.П.Павлова оспаривает конституционность части третьей статьи 392 ГПК Российской Федерации, закрепляющей перечень оснований для пересмотра вступивших в законную силу судебных постановлений по вновь открывшимся обстоятельствам. Как следует из представленных материалов, определением суда общей юрисдикции, с которым согласились суды вышестоящих инстанций, И.П.Павловой отказано в удовлетворении заявления о пересмотре вступившего в законную силу решения того же суда по вновь открывшимся и новым обстоятельствам.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этого суда. 2 По мнению И.П.Павловой, применением оспариваемой нормы были нарушены ее права, гарантированные статьями 35 (части 1 и 4) и 46 (часть 1) Конституции Российской Федерации в той мере, в какой она позволила судам отказать в пересмотре ошибочного и незаконного судебного постановления при наличии обстоятельств, свидетельствующих о необходимости такого пересмотра. Кроме того,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Илоны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