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Чернышова Андрея Владимировича на нарушение его конституционных прав рядом положений Гражданского кодекса Российской Федерации, Гражданского процессуального кодекса Российской Федерации и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А.В.Чернышова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А.В.Чернышов, которому отказано в удовлетворении иска об уменьшении арендной платы, оспаривает конституционность пунктов 1 и 2 статьи 166 «Оспоримые и ничтожные сделки», пункта 2 статьи 167 «Общие положения о последствиях недействительности сделки» и статьи 168 «Недействительность сделки, нарушающей требования закона или иного правового акта» ГК Российской Федерации, части второй статьи 12 «Осуществление правосудия на основе состязательности и равноправия сторон» ГПК Российской Федерации, а также пункта 1 статьи 143 «Налогоплательщики» и пункта 1 статьи 146 «Объект налогообложения» 2 (расположенных в главе 21 «Налог на добавленную стоимость») Налогового кодекса Российской Федерации. По мнению заявителя, оспариваемые нормы не соответствуют Конституции Российской Федерации, поскольку их неопределенность позволяет судам произвольно применять и игнорировать их, вынося судебные постановления, которые нарушают права и свободы граждан, являющихся слабой стороной в договорных правоотношениях.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Чернышова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