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1434-О/2023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Клюева Александра Николаевича на нарушение его конституционных прав частью 4 статьи 12.16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А.Н.Клюева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А.Н.Клюев оспаривает конституционность части 4 статьи 12.16 КоАП Российской Федерации, устанавливающей административную ответственность за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данной статьи. Как следует из представленных материалов, постановлением инспектора органа ГИБДД от 5 июля 2021 года А.Н.Клюев был привлечен к административной ответственности за остановку принадлежащего ему транспортного средства в зоне действия дорожного знака 3.27 «Остановка 2 запрещена». Заявитель обжаловал данное постановление в судебном порядке, утверждая, что он припарковал свой автомобиль на участке, не отнесенном к проезжей части дороги. На этом основании он просил прекратить производство по делу в связи с отсутствием события административного правонарушения. Однако суды, установив, что автомобиль А.Н.Клюева был припаркован на асфальтированной части дороги, предназначенной для движения транспортных средств, оставили указанное постановления без изменения. Заявитель просит признать оспариваемое законоположение не соответствующим статьям 27 (часть 1), 36 (часть 2) и 55 (часть 2) Конституции Российской Федерации, поскольку оно позволяет распространять действие дорожного знака, запрещающего остановку и стоянку транспортных средств, на дворовую территорию, прилегающую к дороге и не предназначенную для сквозного движения транспортных средств.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4 статьи 12.16 КоАП Российской Федерации устанавливает административную ответственность за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Данное законоположение действует во взаимосвязи с Правилами дорожного движения Российской Федерации (утверждены Постановлением Совета Министров – Правительства Российской Федерации от 23 октября 1993 года № 1090), приложение 1 «Дорожные знаки» к которым определяет, среди прочего, запрещающие знаки и зону их действия (раздел 3). Само по себе данное законоположение, рассматриваемое в системе действующего правового регулирования, не содержит неопределенности, не предполагает возможности его произвольного применения и потому не может 3 расцениваться как нарушающее конституционные права граждан в указанном в жалобе аспекте. Формально оспаривая конституционность части 4 статьи 12.16 КоАП Российской Федерации, заявитель фактически выражает несогласие с вынесенными по его делу судебными актами и установленными ими обстоятельствами. Между тем выяснение вопроса о том, где именно был припаркован автомобиль заявителя – на проезжей части дороги или на прилегающей к ней дворовой территории – связано с исследованием фактических обстоятельств, что к компетенции Конституционного Суда Российской Федерации не относится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Клюева Александра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