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Технюка Владислава Васильевича на нарушение его конституционных прав пунктом 5 части первой статьи 23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В.В.Технюка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В.В.Технюк оспаривает конституционность пункта 5 части первой статьи 23 «Гражданские дела, подсудные мировому судье» ГПК Российской Федерации. Как следует из представленных материалов, определением городского суда, оставленным без изменения судами вышестоящих инстанций, В.В.Технюку возвращено исковое заявление о защите прав потребителя в связи с его неподсудностью данному суду. При этом суд исходил из того, что данное исковое заявление подлежит рассмотрению мировым судьей, поскольку заявленное истцом требование о компенсации морального вреда 2 производно от имущественного требования, размер которого не превышает ста тысяч рублей.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В.В.Технюка, оспариваемое законоположение не соответствует статьям 46 и 47 Конституции Российской Федерации, поскольку препятствует рассмотрению районным (городским) судом искового заявления о компенсации морального вреда, причиненного нарушением прав потребителя и не связанного с требованием имущественного характера. Кроме того, заявитель просит дать разъяснения по вопросу о подсудности конкретного дела с его участием.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5 части первой статьи 23 ГПК Российской Федерации мировой судья рассматривает в качестве суда первой инстанции дела по имущественным спорам, возникающим в сфере защиты прав потребителей, при цене иска, не превышающей ста тысяч рублей. Данное законоположение, рассматриваемое с учетом разъяснения Пленума Верховного Суда Российской Федерации – о том, что дела по требованиям о компенсации морального вреда, заявленным самостоятельно, подсудны районным судам; в случае же если одновременно с требованием имущественного характера, подсудным мировому судье, заявлено производное от него требование о компенсации морального вреда (например, по делам о защите прав потребителей), то такие требования подсудны мировому судье, независимо от заявленной истцом суммы компенсации морального вреда (пункт 57 постановления от 15 ноября 2022 года № 33 «О практике применения судами норм о компенсации морального вреда»), – конкретизирует статью 47 (часть 3 1) Конституции Российской Федерации и не может рассматриваться как нарушающее конституционные права заявителя, перечисленные в жалобе. Определение же подсудности конкретного дела с участием В.В.Технюка, а также предоставление разъяснений по этому вопросу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Технюка Владислава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