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Кузьмичёва Константина Валентиновича на нарушение его конституционных прав статьей 234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К.В.Кузьмичёва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К.В.Кузьмичёв оспаривает конституционность статьи 234 Трудового кодекса Российской Федерации, а фактически ее абзацев первого и третьего, согласно которым работодатель обязан возместить работнику не полученный им заработок во всех случаях незаконного лишения его возможности трудиться, в частности если заработок не получен в результате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работе. 2 По мнению заявителя, оспариваемые положения не соответствуют статьям 18, 37 (часть 4), 46 (часть 1) и 118 (часть 1) Конституции Российской Федерации в той мере, в какой позволяют судам отказывать в удовлетворении исковых требований работника о взыскании заработка за период, в течение которого работодатель не прекратил трудовые отношения с работником по основанию, предусмотренному пунктом 11 части первой статьи 83 Трудового кодекса Российской Федерации, после отмены в апелляционном порядке решения суда о восстановлении на работе.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Кузьмичёва Константина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