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Рамского Евгения Викторовича на нарушение его конституционных прав положениями статей 148 и 196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Е.В.Рамского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Е.В.Рамский оспаривает конституционность абзаца третьего (в жалобе ошибочно названного абзацем вторым) статьи 148 «Задачи подготовки дела к судебному разбирательству» и части первой статьи 196 «Вопросы, разрешаемые при принятии решения суда» ГПК Российской Федерации. Как следует из представленных материалов, решением суда общей юрисдикции, оставленным без изменения судом апелляционной инстанции и кассационным судом общей юрисдикции, Е.В.Рамскому отказано в удовлетворении исковых требований к гражданке П. о взыскании 2 задолженности по договору подряда, встречные исковые требования П. о взыскании среди прочего убытков и неустойки по указанному договору удовлетворены частично.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В связи с этим Е.В.Рамский полагает, что применением оспариваемых законоположений было нарушено его право, гарантированное статьей 46 (часть 1) Конституции Российской Федерации: в результате предоставленной суду свободы усмотрения в выборе норм материального права закон, подлежащий, по мнению заявителя, применению при разрешении дела с его участием, не был применен.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Абзац третий статьи 148 ГПК Российской Федерации, относящий к задачам подготовки дела к судебному разбирательству определение закона, которым следует руководствоваться при разрешении дела, и установление правоотношений сторон, а также часть первая статьи 196 того же Кодекса, возлагающая на суд обязанность при принятии решения оценить доказательства, определить, какие обстоятельства, имеющие значение для рассмотрения дела, установлены и какие обстоятельства не установлены, каковы правоотношения сторон, какой закон должен быть применен по данному делу и подлежит ли иск удовлетворению, не предполагают их произвольного применения, призваны обеспечить полное и всестороннее изучение обстоятельств конкретного дела и вынесение законного и обоснованного судебного постановления, а потому не могут расцениваться в качестве нарушающих конституционные права заявителя, в том числе право на судебную защиту. 3 Кроме того, выбор норм права, подлежащих применению при разрешении конкретного дела, осуществляется судом исходя из его фактических обстоятельств и содержания спорных правоотношений. Оценка же правильности такого выбора, на чем в действительности настаивает Е.В.Рамский, требует установления указанных обстоятельств, что не входит в компетенцию Конституционного Суда Российской Федерации, закрепленную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Рамского Евгения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