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Хрипунова Геннадия Михайловича на нарушение его конституционных прав статьей 53 Закона Воронежской области «О регулировании земельных отношений в Воронежской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Г.М.Хрипунова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Г.М.Хрипунов оспаривает конституционность статьи 53 «Выбор земельных участков для размещения и строительства объекта» Закона Воронежской области от 9 июня 1995 года № 18-з «О регулировании земельных отношений в Воронежской области» (признан утратившим силу Законом Воронежской области от 13 февраля 2004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жалобе, свидетельствуют о том, что, формально оспаривая конституционность статьи 53 утратившего силу Закона Воронежской области «О регулировании земельных отношений в Воронежской области», заявитель фактически выражает несогласие с правоприменительными решениями, связанными с созданием мемориального комплекса. Оценка же правомерности и целесообразности соответствующих правоприменительных решений, на чем, по существу, настаивает заявитель,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Хрипунова Геннадия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