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частью 1 статьи 96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1 статьи 96 КАС Российской Федерации, в частности предусматривающей возможность извещения или вызова судом участвующего в деле лица путем отправки СМС-сообщения или направления извещения или вызова по электронной почте при наличии его согласия, подтвержденного распиской,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почты, на которые направляется извещение. 2 Как следует из представленных материалов, вступившим в законную силу решением суда общей юрисдикции признаны незаконными действия (бездействие) и постановления судебных приставов, связанные со взысканием с А.Н.Малинина денежных средств в пользу взыскателя, привлеченного к участию в деле в качестве заинтересованного лица. Оставляя без удовлетворения жалобы А.Н.Малинина на указанное решение, суды вышестоящих инстанций в том числе отклонили довод заявителя о ненадлежащем извещении заинтересованного лица. По мнению заявителя, оспариваемое законоположение противоречит статье 19 (части 1 и 2) Конституции Российской Федерации, поскольку позволяет судам извещать участвующее в деле лицо путем направления извещения по электронной почте без получения согласия такого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