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Саркисяна Подвакана Карленовича на нарушение его конституционных прав положениями статей 456, 469 и 474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П.К.Саркисяна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гражданину П.К.Саркисяну отказано в удовлетворении исковых требований к обществу с ограниченной ответственностью в том числе о взыскании стоимости ремонта автомобиля. По мнению П.К.Саркисяна, пункт 1 статьи 456, пункты 1 и 2 статьи 469, а также пункты 1 и 2 статьи 474 ГК Российской Федерации противоречат Конституции Российской Федерации, ее статьям 8 (часть 1), 17 (часть 3), 18, 35 (части 1 и 2), 45 (часть 1) и 46 (часть 1), в той мере, в какой они в системе действующего правового регулирования по смыслу, 2 придаваемому им правоприменительной практикой, предоставляют юридическому лицу, занимающемуся предпринимательской деятельностью, – продавцу по договору купли-продажи ничем не ограниченное право продавать потребителю – физическому лицу бывшее в употреблении транспортное средство без предоставления такому покупателю информации об известных продавцу недостатках автомобиля.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469 и 474 того же Кодекса, закрепляющие требования к качеству товара и регулирующие проверку качества товара, обеспечивают защиту прав покупателей и баланс интересов сторон договора купли-продажи и не могут расцениваться как нарушающие в обозначенном в жалобе аспекте конституционные права заявителя. Установление же и исследование фактических обстоятельств конкретного дела, а также проверка выбора судами норм, подлежащих применению с учетом указанных обстоятельств,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Кроме того,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статьи 456 ГК Российской Федерации в конкретном деле с участием заявителя. Как неоднократно отмечал Конституционный Суд Российской Федерации, само по себе упоминание в судебных постановлениях тех или иных норм не может расцениваться как их применение в конкретном деле (Постановление от 29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Саркисяна Подвакана Карленовича,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