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1645-О/2023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Хохлова Михаила Павловича на нарушение его конституционных прав пунктом 1 статьи 1155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М.П.Хохлова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М.П.Хохлов оспаривает конституционность пункта 1 статьи 1155 «Принятие наследства по истечении установленного срока» ГК Российской Федерации. Как следует из представленных материалов, решением суда общей юрисдикции, с которым согласились вышестоящие суды, отказано в удовлетворении требований М.П.Хохлова к гражданину К. о признании свидетельства о праве на наследство недействительным, признании права собственности на наследственное имущество по завещанию, взыскании компенсации. Суды пришли к выводу, что М.П.Хохловым пропущен срок для принятия наследства, открывшегося после смерти его отца в 1998 году. 2 По мнению заявителя, оспариваемая норма противоречит статьям 8 (часть 2), 18, 19 (часть 1), 35 (части 1, 2 и 4), 46 (часть 1) и 55 (части 1 и 3) Конституции Российской Федерации, поскольку лишает граждан, пропустивших по объективным причинам срок для принятия наследства, заявить о своих правах на наследственное имущество в пределах срока исковой давности и требовать от иных лиц возврата наследственного имущества как неосновательно полученного. Кроме того, М.П.Хохлов просит отменить судебные постановления, принятые по его делу.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Оспариваемая норма направлена на защиту прав граждан при наследовании, обеспечение стабильности гражданского оборота, устранение неопределенности правового режима наследственного имущества и, прямо предусматривая при наличии уважительных причин возможность восстановления судом – исходя из фактических обстоятельств дела – пропущенного срока, установленного для принятия наследства, служит реализации предписаний статей 17 (часть 3), 35 и 55 (часть 3) Конституции Российской Федерации. Соответственно, данное положение – с учетом того что право на принятие наследства осуществляется самостоятельно наследниками, по их усмотрению и их волей – не может рассматриваться как нарушающее в указанном в жалобе аспекте конституционные права заявителя. Установление же и оценка фактических обстоятельств, имеющих значение для разрешения конкретного дела с участием заявителя, в частности уважительности причин пропуска срока принятия наследства, а равно и разрешение иных вопросов, поставленных в жалобе, к компетенции Конституционного Суда Российской Федерации, закрепленной в статье 125 Конституции Российской Федерации и статье 3 Федерального 3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Хохлова Михаила Павловича,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