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Мирошниченко Дмитрия Евгеньевича на нарушение его конституционных прав частью 4 статьи 39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Д.Е.Мирошниченко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Д.Е.Мирошниченко оспаривает конституционность части 4 статьи 39 АПК Российской Федерации, закрепляющей, что, если при рассмотрении дела в арбитражном суде выяснилось, что оно подлежит рассмотрению судом общей юрисдикции, арбитражный суд передает дело в верховный суд республики, краевой, областной суд, суд города федерального значения, суд автономной области или суд автономного округа того же субъекта Российской Федерации для направления его в суд общей юрисдикции, к подсудности которого оно отнесено законом. Как следует из представленных материалов, определением Арбитражного суда Московской области, оставленным без изменения судом апелляционной 2 инстанции, дело по исковому заявлению Д.Е.Мирошниченко к ряду ответчиков (зарегистрированных в Москве и Московской области) о взыскании денежных средств, признании акта недействительным было передано в Московский областной суд для направления его в суд общей юрисдикции, к подсудности которого оно отнесено законом, в связи с тем, что один из ответчиков прекратил деятельность в качестве индивидуального предпринимателя.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Федерации. По мнению заявителя, оспариваемое законоположение противоречит статьям 19, 46 и 47 Конституции Российской Федерации, поскольку оно позволяет арбитражному суду передавать дело по подсудности в суд общей юрисдикции без учета законодательных предписаний о праве истца на выбор подсудности дела по месту нахождения одного из нескольких ответчиков по его требованию.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Мирошниченко Дмитрия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