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2968-О/2023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Алексея Николаевича на нарушение его конституционных прав частью 3 статьи 313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А.Н.Малинин оспаривает конституционность части 3 статьи 313 КАС Российской Федерации, в соответствии с которой на определения суда, не указанные в части 1 данной статьи, частные жалобы, представления прокурора не подаются, но возражения относительно них могут быть включены в апелляционные жалобу, представление. Как следует из представленных материалов, определением суда общей юрисдикции прекращено производство по делу с участием А.Н.Малинина в связи с тем, что административный спор уже ранее был рассмотрен судом. Впоследствии судебными актами судов общей юрисдикции поданная 2 заявителем частная жалоба на данное определение была возвращена ему в части требования об отмене протокольного определения суда об отказе в привлечении к участию в деле административного ответчика. При этом суды исходили из того, что указанное определение не подлежало самостоятельному обжалованию, а возражения на него могли быть изложены при обжаловании судебного акта, которым заканчивается рассмотрение дела. По мнению заявителя, часть 3 статьи 313 КАС Российской Федерации противоречит Конституции Российской Федерации, поскольку препятствует оспариванию в суд протокольных определений, возражения относительно которых были включены заявителем в жалобу на окончательное решение по делу.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