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«Реализация Инвестиционных Проектов», общества с ограниченной ответственностью «СК Строй- Град» и других на нарушение их конституционных прав рядом норм Арбитражного процессуального кодекса Российской Федерации и пунктом 1 статьи 186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«Реализация Инвестиционных Проектов», общества с ограниченной ответственностью «СК Строй-Град»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«Реализация Инвестиционных Проектов» (далее также – ООО «РИП»), общество с ограниченной ответственностью «СК Строй-Град» (далее также – ООО «СК Строй-Град»), общество с ограниченной ответственностью «Рус-Строй» (далее также – ООО «Рус-Строй») и общество с ограниченной ответственностью «Строй-Конструкция» (далее также – ООО «Строй- Конструкция») оспаривают конституционность частей 2 и 3 статьи 8 2 «Равноправие сторон», статьи 71 «Оценка доказательств», частей 1, 4, 8 и 9 статьи 75 «Письменные доказательства», части 3 статьи 86 «Заключение эксперта», статьи 161 «Заявление о фальсификации доказательства», части 1 статьи 162 «Исследование доказательств», части 4 статьи 170 «Содержание решения» АПК Российской Федерации и пункта 1 статьи 186 «Срок доверенности» ГК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ООО «РИП», ООО «СК Строй-Град», ООО «Рус-Строй» и ООО «Строй-Конструкция» отказано в удовлетворении исковых требований к юридическому лицу о взыскании неосновательного обогащения.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«РИП», ООО «СК Строй-Град», ООО «Рус-Строй» и ООО «Строй-Конструкция»,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15 (часть 2), 19 (часть 1), 46 (часть 1), 120 (часть 1) и 123 (часть 3) Конституции Российской Федерации, поскольку исключают для них возможность судебной защиты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заявителями в обоснование своей позиции, свидетельствуют о том, что нарушение конституционных прав они связывают не с содержанием оспариваемых законоположений, а с ненадлежащей, как они полагают, оценкой арбитражными судами доказательств и неправильным применением ими норм права. Разрешение же данного вопроса, связанного с установлением и исследованием фактических 3 обстоятельств конкретного дела,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«Реализация Инвестиционных Проектов», общества с ограниченной ответственностью «СК Строй-Град» и др.,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