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1549-О/2023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Мазурчака Владимира Степановича на нарушение его конституционных прав статьями 247 и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В.С.Мазурчака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В.С.Мазурчак оспаривает конституционность статей 247 «Владение и пользование имуществом, находящимся в долевой собственности» и 304 «Защита прав собственника от нарушений, не связанных с лишением владения» ГК Российской Федерации. Как следует из представленных материалов, апелляционным определением суда общей юрисдикции, с которым согласились суды кассационной инстанции, заявителю – участнику долевой собственности на земельный участок и жилой дом отказано в удовлетворении искового требования, адресованного другому участнику, об устранении препятствий в 2 пользовании общим имуществом путем демонтажа механизма дистанционного открывания ворот. Суды, указав на фактические обстоятельства – спорное автоматическое устройство было установлено в интересах всех участников долевой собственности, истец пользовался им на протяжении длительного времени, пока не потерял предоставленный ему для этого пульт управления, от получения дубликата отказался, – пришли к выводу о наличии с его стороны выраженного согласия на установку названного устройства. Они также отметили, что В.С.Мазурчак не лишен доступа к земельному участку, жилому дому и своему гаражу (ворота оснащены калиткой, открывающейся в ручном режиме, они не препятствуют въезду в гараж истца). По мнению заявителя, оспариваемые нормативные положения не соответствуют статье 35 (части 1 и 2) Конституции Российской Федерации, поскольку они по смыслу, придаваемому правоприменительной практикой, не позволяют собственнику требовать устранения всяких нарушений его прав, ограничивают право участника общей долевой собственности пользоваться общим имуществом, допускают внесение изменений в такое имущество, на которое участник долевой собственности согласия не давал.</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обращении, свидетельствуют о том, что нарушение конституционных прав он связывает не с содержанием оспариваемых норм, обеспечивающих защиту прав собственника и предусматривающих необходимость получения согласия всех участников долевой собственности на владение, пользование и распоряжение общим имуществом, а с имевшим место, по его мнению, существенным нарушением судами норм материального права с использованием ими при формулировании своих выводов недостоверной информации. Тем самым В.С.Мазурчак, по существу, предлагает проверить обоснованность принятых по его делу судебных постановлений, что требует установления фактических 3 обстоятельств 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Мазурчака Владимира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