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«Ажур» на нарушение его конституционных прав пунктом 1 статьи 15, пунктом 1 статьи 393 и подпунктом 1 пункта 2 статьи 450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«Ажур»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«Ажур» (далее также – общество) оспаривает конституционность пункта 1 статьи 15 «Возмещение убытков», пункта 1 статьи 393 «Обязанность должника возместить убытки» и подпункта 1 пункта 2 статьи 450 «Основания изменения и расторжения договора» ГК Российской Федерации. Как следует из представленных материалов, решением арбитражного суда, с которым согласились суды вышестоящих инстанций, частично удовлетворен иск коммерческой организации к заявителю, расторгнут инвестиционный договор, с заявителя взысканы задолженность по оплате 2 строительно-монтажных, проектных и изыскательских работ, сопутствующие расходы; в удовлетворении встречного иска о взыскании упущенной выгоды отказано. Суды, установив, что общество не исполнило своей обязанности по оплате выполненных истцом по первоначальному иску работ, принимая во внимание длительный период просрочки, пришли к выводу о наличии оснований для расторжения договора. Указав, что расторжение договора не связано с неисполнением или ненадлежащим исполнением обязательств ответчиком по встречному иску и что условия для наступления ответственности в виде возмещения убытков отсутствуют, суды отказали в удовлетворении встречного иска общества. По мнению заявителя, пункт 1 статьи 15 и пункт 1 статьи 393 ГК Российской Федерации противоречат статьям 35 (части 1 и 3) и 46 (часть 1) Конституции Российской Федерации в той мере, в какой по смыслу, придаваемому им правоприменительной практикой, они ограничивают возмещение убытков лишь случаем расторжения договора, связанным с неисполнением или ненадлежащим исполнением договорных обязательств, а подпункт 1 пункта 2 статьи 450 того же Кодекса противоречит названным статьям Конституции Российской Федерации, поскольку устанавливает возможность расторжения договора по требованию одной из его сторон без учета основанных на договоре прав и интересов другой стороны.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«Ажур»,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