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2130-О/2024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Шамсутдинова Рамиля Рафиковича на нарушение его конституционных прав Уголовным кодексом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гражданина Р.Р.Шамсутдинова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Р.Р.Шамсутдинов, в отношении которого вынесен обвинительный приговор, утверждает, что применение Уголовного кодекса Российской Федерации в его деле повлекло нарушение прав, гарантированных статьями 17 (часть 1), 19 (части 1 и 2), 21–24, 33, 45 (часть 1), 46 (часть 1), 47 (часть 1), 49, 50 (часть 2), 52, 54 (часть 2), 55 (часть 3) и 56 (часть 3) Конституции Российской Федерации. При этом заявитель просит объединить его обращение с жалобой, поданной в</w:t>
      </w:r>
    </w:p>
    <w:p>
      <w:pPr>
        <w:pStyle w:val="Heading3"/>
      </w:pPr>
      <w:r>
        <w:rPr>
          <w:rFonts w:ascii="Times New Roman" w:hAnsi="Times New Roman" w:eastAsia="Times New Roman" w:cs="Times New Roman"/>
          <w:b/>
          <w:i w:val="0"/>
          <w:sz w:val="22"/>
        </w:rPr>
        <w:t>Пункт 2. Доводы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пункту 6 части второй статьи 37 Федерального конституционного закона «О Конституционном Суде Российской Федерации» Р.Р.Шамсутдинов не указывает конкретных норм оспариваемого нормативного акта, которые, по его мнению, нарушают его конституционные права. Между тем,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Шамсутдинова Рамиля Рафиковича,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