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Щербины Галины Борисовны на нарушение ее конституционных прав пунктом 3 части четвертой статьи 392 Гражданского процессуального кодекса Российской Федерации во взаимосвязи с пунктом 7 части третьей статьи 79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Г.Б.Щербины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юрисдикции, оставленным без изменения судом апелляционной инстанции и кассационным судом общей юрисдикции, гражданке Г.Б.Щербине отказано в удовлетворении заявления о пересмотре по новым обстоятельствам вступившего в законную силу решения того же суда. При этом в качестве нового обстоятельства заявительница указывала Определение Конституционного Суда Российской Федерации от 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Щербины Галины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