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Боковой Варвары Владимировны и Боковой Раисы Валерьевны на нарушение их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В.В.Боковой и Р.В.Боковой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В.В.Бокова и Р.В.Бокова, с которых взыскана задолженность по оплате содержания жилого помещения и коммунальных услуг, оспаривают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52-ФЗ «О введении в действие части первой 2 Гражданского кодекса Российской Федерации» и Федерального закона от 29 декабря 2004 года № 189-ФЗ «О введении в действие Жилищного кодекса Российской Федерации». По мнению заявительниц,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заявительницы полагают,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Боковой Варвары Владимировны и Боковой Раисы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