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Саркисяна Андрея Ашотовича на нарушение его конституционных прав частью девятой статьи 115 и частями первой, пятой – седьмой статьи 1151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А.А.Саркисяна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А.А.Саркисян, будучи кредитором юридического лица в деле о банкротстве, обжаловал продление срока наложения ареста на имущество, принадлежащее должнику. Однако его жалобы не были удовлетворены судами. В этой связи А.А.Саркисян просит признать не соответствующими статьям 35 (части 1–3), 46 (часть 1) и 55 (часть 3) Конституции Российской Федерации часть девятую статьи 115 «Наложение ареста на имущество» во взаимосвязи с частями первой, пятой – седьмой статьи 1151 «Порядок продления срока применения меры процессуального принуждения в виде наложения ареста на имущество» УПК Российской Федерации в той мере, в 2 какой этими положениями в системе действующего правового регулирования не предусматривается надлежащий правовой механизм, применение которого – при сохранении баланса между публично-правовыми и частноправовыми интересами – позволяло бы эффективно защищать в судебном порядке права и законные интересы конкурсных кредиторов, чьи имущественные права ограничены длительным сохранением ареста на имущество юридических лиц, признанных в установленном порядке банкротами и в отношении которых введено конкурсное производство.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Саркисяна Андрея Ашотовича,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