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Каськова Олега Юрьевича на нарушение его конституционных прав статьей 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О.Ю.Каськова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О.Ю.Каськов оспаривает конституционность статьи 5 Трудового кодекса Российской Федерации, а фактически ее части второй, согласно которой 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 (в жалобе в качестве оспариваемого акта назван также Федеральный закон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2 актов СССР и утратившими силу некоторых законодательных актов (положений законодательных актов) Российской Федерации», пунктом 5 статьи 1 которого оспариваемая норма была изложена в действующей в настоящее время редакции). По мнению заявителя, применение судами оспариваемой нормы при разрешении его дела как позволяющей работодателю путем принятия локального нормативного акта, не содержащего нормы трудового права, возлагать на работников обязанности, не относящиеся к трудовым (в частности, обязанности в сфере обеспечения санитарно- эпидемиологического благополучия), привело – вопреки требованиям статей 18, 46 (часть 1) и 751 Конституции Российской Федерации – к нарушению его конституционных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Каськова Олега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