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2929-О/2024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Сидорова Анатолия Станиславовича на нарушение его конституционных прав частью первой статьи 4016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А.С.Сидорова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Мировой судья, рассмотрев заявление гражданина А.С.Сидорова о привлечении П. к уголовной ответственности за клевету, постановил приговор о признании последнего невиновным и оправдании в связи с отсутствием в его действиях состава преступления. С таким решением согласились суд апелляционной инстанции и кассационный суд общей юрисдикции. Последующая кассационная жалоба А.С.Сидорова (по основаниям, ухудшающим положение П.) и ходатайство о восстановлении срока на подачу кассационной жалобы возвращены письмом судьи Верховного Суда 2 Российской Федерации от 1 августа 2024 года без рассмотрения как поданные за пределами годичного срока, в течение которого при пересмотре судебного решения допускается поворот к худшему. При этом отмечено, что указанный срок восстановлению не подлежит вне зависимости от причины его пропуска. В этой связи заявитель утверждает о несоответствии статьям 2, 17 (часть 3), 19 (часть 1), 45 (часть 1) и 52 Конституции Российской Федерации части первой статьи 4016 «Поворот к худшему при пересмотре приговора, определения, постановления суда в кассационной инстанции» УПК Российской Федерации (в жалобе ошибочно поименована как статья 4061) в той мере, в какой она исключает возможность восстановления предусмотренного ею пресекательного срока в ситуации, когда данный срок истек не по вине потерпевшего (частного обвинителя).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Установленный статьей 4016 УПК Российской Федерации годичный срок для пересмотра в кассационном порядке судебных решений в сторону, ухудшающую положение осужденного, оправданного, лица, в отношении которого прекращено уголовное дело, является разумным и достаточным для того, чтобы участники судопроизводства могли заблаговременно подготовить жалобу или представление и обеспечить своевременность их подачи, притом что сроки вступления судебных решений в законную силу, а равно сроки изучения и рассмотрения жалоб и представлений в судах кассационной инстанции с момента их поступления установлены данным Кодексом (статьи 390 и 391, часть первая статьи 4018, части третья и четвертая статьи 40110, часть первая статьи 40113), а потому в конкретном деле могут быть определены и учтены заинтересованными лицами (определения Конституционного Суда Российской Федерации от 28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Сидорова Анатолия Станиславовича,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