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 на нарушение его конституционных прав статьей 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статьи 2 «Законодательство о Конституционном Суде Российской Федерации»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заявителем статья 2 Федерального конституционного закона «О Конституционном Суде Российской Федерации», закрепляющая, что полномочия, порядок образования и деятельности Конституционного Суда Российской Федерации определяются Конституцией Российской Федерации и названным Федеральным конституционным законом, по существу воспроизводит положения статьи 128 (часть 3) Конституции Российской Федерации, а потому не может рассматриваться как нарушающая конституционные права граждан (Определение Конституционного Суда Российской Федерации от 17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